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Лабораторная работа</w:t>
      </w:r>
    </w:p>
    <w:p w:rsidR="00000000" w:rsidDel="00000000" w:rsidP="00000000" w:rsidRDefault="00000000" w:rsidRPr="00000000" w14:paraId="00000002">
      <w:pPr>
        <w:jc w:val="center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«Определение константы диссоциации метилового оранжевого»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Цели работы:</w:t>
      </w:r>
    </w:p>
    <w:p w:rsidR="00000000" w:rsidDel="00000000" w:rsidP="00000000" w:rsidRDefault="00000000" w:rsidRPr="00000000" w14:paraId="0000000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4"/>
        </w:tabs>
        <w:spacing w:after="0" w:before="140" w:line="360" w:lineRule="auto"/>
        <w:ind w:left="720" w:right="532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Регистрация спектров поглощения растворов метилового оранжевого с различными значениями pH в видимой и УФ-областях спектра;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"/>
        </w:tabs>
        <w:spacing w:after="0" w:before="0" w:line="360" w:lineRule="auto"/>
        <w:ind w:left="720" w:right="53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Определение рабочих длин волн для кислой и основной форм исследуемого индикатора, нахождение изобестической точки;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"/>
        </w:tabs>
        <w:spacing w:after="0" w:before="0" w:line="360" w:lineRule="auto"/>
        <w:ind w:left="720" w:right="526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Проверка закона Бугера - Ламберта - Бера; определение коэффициентов экстинкции кислой и основной форм индикатора на выбранных длинах волн;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89"/>
        </w:tabs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Определение константы диссоциации метилового оранжевого.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ТЕОРЕТИЧЕСКАЯ ЧАСТЬ</w:t>
        <w:br w:type="textWrapping"/>
      </w:r>
    </w:p>
    <w:p w:rsidR="00000000" w:rsidDel="00000000" w:rsidP="00000000" w:rsidRDefault="00000000" w:rsidRPr="00000000" w14:paraId="0000000C">
      <w:pPr>
        <w:spacing w:before="132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основе количественных измерений в спектроскопии лежит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закон Бугера - Ламберта- Бера</w:t>
      </w:r>
      <w:r w:rsidDel="00000000" w:rsidR="00000000" w:rsidRPr="00000000">
        <w:rPr>
          <w:i w:val="1"/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который связывает способность вещества поглощать свет с концентрацией данного вещества: </w:t>
      </w:r>
    </w:p>
    <w:p w:rsidR="00000000" w:rsidDel="00000000" w:rsidP="00000000" w:rsidRDefault="00000000" w:rsidRPr="00000000" w14:paraId="0000000D">
      <w:pPr>
        <w:jc w:val="center"/>
        <w:rPr>
          <w:rFonts w:ascii="Cambria Math" w:cs="Cambria Math" w:eastAsia="Cambria Math" w:hAnsi="Cambria Math"/>
          <w:sz w:val="24"/>
          <w:szCs w:val="24"/>
          <w:vertAlign w:val="baseline"/>
        </w:rPr>
      </w:pPr>
      <m:oMath>
        <m:r>
          <w:rPr>
            <w:rFonts w:ascii="Cambria Math" w:cs="Cambria Math" w:eastAsia="Cambria Math" w:hAnsi="Cambria Math"/>
            <w:sz w:val="24"/>
            <w:szCs w:val="24"/>
            <w:vertAlign w:val="baseline"/>
          </w:rPr>
          <m:t xml:space="preserve">lg (I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0</m:t>
        </m:r>
        <m:r>
          <w:rPr>
            <w:rFonts w:ascii="Cambria Math" w:cs="Cambria Math" w:eastAsia="Cambria Math" w:hAnsi="Cambria Math"/>
            <w:sz w:val="24"/>
            <w:szCs w:val="24"/>
            <w:vertAlign w:val="baseline"/>
          </w:rPr>
          <m:t xml:space="preserve">/I) =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>ε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>γ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vertAlign w:val="baseline"/>
          </w:rPr>
          <m:t xml:space="preserve">•C•l =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D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>γ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ind w:right="524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где I и I</w:t>
      </w:r>
      <w:r w:rsidDel="00000000" w:rsidR="00000000" w:rsidRPr="00000000">
        <w:rPr>
          <w:sz w:val="24"/>
          <w:szCs w:val="24"/>
          <w:rtl w:val="0"/>
        </w:rPr>
        <w:t xml:space="preserve">0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- интенсивность прошедшего и падающего на образец света; </w:t>
      </w:r>
      <m:oMath>
        <m:sSub>
          <m:e>
            <m:r>
              <m:t>ε</m:t>
            </m:r>
          </m:e>
          <m:sub>
            <m:r>
              <m:t>γ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- коэффициент </w:t>
      </w:r>
      <w:r w:rsidDel="00000000" w:rsidR="00000000" w:rsidRPr="00000000">
        <w:rPr>
          <w:sz w:val="24"/>
          <w:szCs w:val="24"/>
          <w:rtl w:val="0"/>
        </w:rPr>
        <w:t xml:space="preserve">пропорциональности, называемый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молярным коэффициентом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поглощения</w:t>
      </w:r>
      <w:r w:rsidDel="00000000" w:rsidR="00000000" w:rsidRPr="00000000">
        <w:rPr>
          <w:i w:val="1"/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или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коэффициентом экстинкции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вещества. Таким образом, оптическая плотность линейно связана с концентрацией:</w:t>
      </w:r>
    </w:p>
    <w:p w:rsidR="00000000" w:rsidDel="00000000" w:rsidP="00000000" w:rsidRDefault="00000000" w:rsidRPr="00000000" w14:paraId="0000000F">
      <w:pPr>
        <w:spacing w:line="360" w:lineRule="auto"/>
        <w:ind w:left="15" w:firstLine="0"/>
        <w:jc w:val="center"/>
        <w:rPr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D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>γ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= </w:t>
      </w:r>
      <m:oMath>
        <m:sSub>
          <m:e>
            <m:r>
              <m:t>ε</m:t>
            </m:r>
          </m:e>
          <m:sub>
            <m:r>
              <m:t>γ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vertAlign w:val="baseline"/>
          </w:rPr>
          <m:t xml:space="preserve">•C•l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left="15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Величина, обратная коэффициенту экстинкции, равна толщине слоя раствора с концентрацией 1 моль/л, в котором интенсивность света уменьшается в 10 раз.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360" w:lineRule="auto"/>
        <w:ind w:left="0" w:right="523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процесса поглощения света веществом характерна аддитивность: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2482850</wp:posOffset>
            </wp:positionH>
            <wp:positionV relativeFrom="paragraph">
              <wp:posOffset>295275</wp:posOffset>
            </wp:positionV>
            <wp:extent cx="1344295" cy="391795"/>
            <wp:effectExtent b="0" l="0" r="0" t="0"/>
            <wp:wrapTopAndBottom distB="0" dist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4295" cy="391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Необходимым условием для получения спектра поглощения какого-либо вещества в растворе является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полная прозрачность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 данной спектральной области используемого растворителя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" w:line="360" w:lineRule="auto"/>
        <w:ind w:left="0" w:right="525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Большинство часто используемых растворителей не имеют поглощения в видимой и ближней ультрафиолетовой областях спектра с границей пропускания УФ-излучения от 326 нм (бензол) до 200 нм (вода).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" w:line="360" w:lineRule="auto"/>
        <w:ind w:left="0" w:right="525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Устройство спектрофотометра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" w:line="360" w:lineRule="auto"/>
        <w:ind w:left="0" w:right="525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На рис. 1 показана принципиальная схема однолучевого спектрофотометра.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" w:line="360" w:lineRule="auto"/>
        <w:ind w:left="0" w:right="525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-279610</wp:posOffset>
            </wp:positionH>
            <wp:positionV relativeFrom="paragraph">
              <wp:posOffset>210</wp:posOffset>
            </wp:positionV>
            <wp:extent cx="1539240" cy="2399890"/>
            <wp:effectExtent b="0" l="0" r="0" t="0"/>
            <wp:wrapSquare wrapText="bothSides" distB="0" distT="0" distL="114300" distR="11430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11515" l="45922" r="30219" t="22349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2399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" w:line="360" w:lineRule="auto"/>
        <w:ind w:left="0" w:right="525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Источником излучения в области 360-1000 нм обычно служит лампа накаливания. В качестве источника УФ-излучения в области 200-360 нм используют водородные или дейтериевые лампы. В монохроматорах в качестве диспергирующего элемента применяют призму или дифракционную решётку.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Особенности спектрофотометрических экспериментов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спектроскопии принято для каждого исследуемого вещества экспериментально проверять выполнимость закона Бугера - Ламберта - Бера. С этой целью проводят измерения оптической плотности на фиксированной длине волны для ряда растворов с различной концентрацией. По полученным данным строится калибровочный график, по которому судят о наличии пропорциональности. Тангенс угла наклона этой прямой и есть коэффициент экстинкции исследуемого вещества.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 проведении точных спектроскопических измерений необходимо грамотно выбирать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рабочую длину волны.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большинстве случаев удобнее всего проводить измерения в области максимального поглощения. В случае, когда в растворе присутствуют несколько веществ, целесообразно выбирать рабочую длину волны в области, где их спектры перекрываются в меньшей степени. </w:t>
      </w:r>
    </w:p>
    <w:p w:rsidR="00000000" w:rsidDel="00000000" w:rsidP="00000000" w:rsidRDefault="00000000" w:rsidRPr="00000000" w14:paraId="0000001D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Обычно подбирают такие условия, чтобы оптическая плотность исследуемого раствора находилась в пределах 0,1 &lt; </w:t>
      </w:r>
      <w:r w:rsidDel="00000000" w:rsidR="00000000" w:rsidRPr="00000000">
        <w:rPr>
          <w:i w:val="1"/>
          <w:sz w:val="24"/>
          <w:szCs w:val="24"/>
          <w:rtl w:val="0"/>
        </w:rPr>
        <w:t xml:space="preserve">D &lt; </w:t>
      </w:r>
      <w:r w:rsidDel="00000000" w:rsidR="00000000" w:rsidRPr="00000000">
        <w:rPr>
          <w:sz w:val="24"/>
          <w:szCs w:val="24"/>
          <w:rtl w:val="0"/>
        </w:rPr>
        <w:t xml:space="preserve">1,4. Если же экспериментально измеренные значения оптической плотности оказываются за пределами рекомендуемого диапазона, то следует использовать для измерений кювету с иной длиной оптического пути, либо дополнительно разбавить исследуемый раствор.</w:t>
      </w:r>
      <w:r w:rsidDel="00000000" w:rsidR="00000000" w:rsidRPr="00000000">
        <w:rPr>
          <w:sz w:val="23"/>
          <w:szCs w:val="23"/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Анализ спектров многокомпонентных систем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Рассмотрим ситуацию, когда в растворе содержатся два вещества A и B (рис. 4.3) или одно вещество в двух формах (например, протонированная и депротонированная кислота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HA и А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-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), а их концентрации связаны отношением </w:t>
      </w:r>
      <m:oMath>
        <m:r>
          <w:rPr>
            <w:rFonts w:ascii="Cambria Math" w:cs="Cambria Math" w:eastAsia="Cambria Math" w:hAnsi="Cambria Math"/>
            <w:sz w:val="24"/>
            <w:szCs w:val="24"/>
            <w:vertAlign w:val="baseline"/>
          </w:rPr>
          <m:t xml:space="preserve">C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HA </m:t>
        </m:r>
        <m:r>
          <w:rPr>
            <w:rFonts w:ascii="Cambria Math" w:cs="Cambria Math" w:eastAsia="Cambria Math" w:hAnsi="Cambria Math"/>
            <w:sz w:val="24"/>
            <w:szCs w:val="24"/>
            <w:vertAlign w:val="baseline"/>
          </w:rPr>
          <m:t xml:space="preserve">+ </m:t>
        </m:r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A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-</m:t>
            </m:r>
          </m:sup>
        </m:sSubSup>
        <m:r>
          <w:rPr>
            <w:rFonts w:ascii="Cambria Math" w:cs="Cambria Math" w:eastAsia="Cambria Math" w:hAnsi="Cambria Math"/>
            <w:sz w:val="24"/>
            <w:szCs w:val="24"/>
            <w:vertAlign w:val="baseline"/>
          </w:rPr>
          <m:t xml:space="preserve"> =const</m:t>
        </m:r>
      </m:oMath>
      <w:r w:rsidDel="00000000" w:rsidR="00000000" w:rsidRPr="00000000">
        <w:rPr>
          <w:i w:val="1"/>
          <w:sz w:val="24"/>
          <w:szCs w:val="24"/>
          <w:vertAlign w:val="baseline"/>
          <w:rtl w:val="0"/>
        </w:rPr>
        <w:t xml:space="preserve">.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В этом случае по спектру поглощения можно определить значения </w:t>
      </w:r>
      <m:oMath>
        <m:r>
          <w:rPr>
            <w:rFonts w:ascii="Cambria Math" w:cs="Cambria Math" w:eastAsia="Cambria Math" w:hAnsi="Cambria Math"/>
            <w:sz w:val="24"/>
            <w:szCs w:val="24"/>
            <w:vertAlign w:val="baseline"/>
          </w:rPr>
          <m:t xml:space="preserve">C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HA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и </w:t>
      </w:r>
      <m:oMath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A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-</m:t>
            </m:r>
          </m:sup>
        </m:sSubSup>
      </m:oMath>
      <w:r w:rsidDel="00000000" w:rsidR="00000000" w:rsidRPr="00000000">
        <w:rPr>
          <w:sz w:val="24"/>
          <w:szCs w:val="24"/>
          <w:vertAlign w:val="baseline"/>
          <w:rtl w:val="0"/>
        </w:rPr>
        <w:t xml:space="preserve">. </w:t>
      </w:r>
      <w:r w:rsidDel="00000000" w:rsidR="00000000" w:rsidRPr="00000000">
        <w:rPr>
          <w:sz w:val="24"/>
          <w:szCs w:val="24"/>
          <w:rtl w:val="0"/>
        </w:rPr>
        <w:t xml:space="preserve">Выберим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рабочую длину волны </w:t>
      </w:r>
      <m:oMath>
        <m:r>
          <m:t>λ</m:t>
        </m:r>
      </m:oMath>
      <w:r w:rsidDel="00000000" w:rsidR="00000000" w:rsidRPr="00000000">
        <w:rPr>
          <w:i w:val="1"/>
          <w:sz w:val="24"/>
          <w:szCs w:val="24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следует выбрать так, чтобы одна форма вещества не имела на ней поглощения, а вторая поглощала сильнее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Зная С</w:t>
      </w:r>
      <w:r w:rsidDel="00000000" w:rsidR="00000000" w:rsidRPr="00000000">
        <w:rPr>
          <w:sz w:val="24"/>
          <w:szCs w:val="24"/>
          <w:rtl w:val="0"/>
        </w:rPr>
        <w:t xml:space="preserve">0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и оптическую плотность </w:t>
      </w:r>
      <w:r w:rsidDel="00000000" w:rsidR="00000000" w:rsidRPr="00000000">
        <w:rPr>
          <w:i w:val="1"/>
          <w:sz w:val="24"/>
          <w:szCs w:val="24"/>
          <w:vertAlign w:val="baseline"/>
          <w:rtl w:val="0"/>
        </w:rPr>
        <w:t xml:space="preserve">D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на выбранной длине волны </w:t>
      </w:r>
      <m:oMath>
        <m:r>
          <m:t>λ</m:t>
        </m:r>
      </m:oMath>
      <w:r w:rsidDel="00000000" w:rsidR="00000000" w:rsidRPr="00000000">
        <w:rPr>
          <w:i w:val="1"/>
          <w:sz w:val="24"/>
          <w:szCs w:val="24"/>
          <w:rtl w:val="0"/>
        </w:rPr>
        <w:t xml:space="preserve">2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концентрацию вещества B в растворе можно найти как: 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b>
        </m:sSub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D</m:t>
            </m:r>
            <m:d>
              <m:dPr>
                <m:begChr m:val="("/>
                <m:endChr m:val=")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D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d>
              <m:dPr>
                <m:begChr m:val="("/>
                <m:endChr m:val=")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sub>
                </m:sSub>
              </m:e>
            </m:d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где</w:t>
      </w:r>
      <w:r w:rsidDel="00000000" w:rsidR="00000000" w:rsidRPr="00000000">
        <w:rPr>
          <w:sz w:val="40"/>
          <w:szCs w:val="40"/>
          <w:vertAlign w:val="subscript"/>
          <w:rtl w:val="0"/>
        </w:rPr>
        <w:t xml:space="preserve">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D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λ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</m:oMath>
      <w:r w:rsidDel="00000000" w:rsidR="00000000" w:rsidRPr="00000000">
        <w:rPr>
          <w:sz w:val="24"/>
          <w:szCs w:val="24"/>
          <w:rtl w:val="0"/>
        </w:rPr>
        <w:t xml:space="preserve">- оптическая плотность раствора, содержащего только вещество B. Если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рабочая длина </w:t>
      </w:r>
      <m:oMath>
        <m:r>
          <m:t>λ</m:t>
        </m:r>
      </m:oMath>
      <w:r w:rsidDel="00000000" w:rsidR="00000000" w:rsidRPr="00000000">
        <w:rPr>
          <w:i w:val="1"/>
          <w:sz w:val="24"/>
          <w:szCs w:val="24"/>
          <w:rtl w:val="0"/>
        </w:rPr>
        <w:t xml:space="preserve"> 1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волны выбрана таким образом, что на ней поглощают обе формы, но коэффициенты экстинкции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</m:ctrlPr>
          </m:sSubPr>
          <m:e>
            <m:r>
              <m:t>ε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HA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vertAlign w:val="baseline"/>
                  </w:rPr>
                  <m:t>λ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  <w:vertAlign w:val="baseline"/>
                  </w:rPr>
                  <m:t xml:space="preserve">1</m:t>
                </m:r>
              </m:sub>
            </m:sSub>
          </m:e>
        </m:d>
        <m:r>
          <w:rPr>
            <w:rFonts w:ascii="Cambria Math" w:cs="Cambria Math" w:eastAsia="Cambria Math" w:hAnsi="Cambria Math"/>
            <w:sz w:val="24"/>
            <w:szCs w:val="24"/>
            <w:vertAlign w:val="baseline"/>
          </w:rPr>
          <m:t xml:space="preserve"> и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>ε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A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vertAlign w:val="baseline"/>
                  </w:rPr>
                  <m:t>λ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  <w:vertAlign w:val="baseline"/>
                  </w:rPr>
                  <m:t xml:space="preserve">1</m:t>
                </m:r>
              </m:sub>
            </m:sSub>
          </m:e>
        </m:d>
        <m:r>
          <w:rPr>
            <w:rFonts w:ascii="Cambria Math" w:cs="Cambria Math" w:eastAsia="Cambria Math" w:hAnsi="Cambria Math"/>
            <w:sz w:val="24"/>
            <w:szCs w:val="24"/>
            <w:vertAlign w:val="baseline"/>
          </w:rPr>
          <m:t xml:space="preserve"> </m:t>
        </m:r>
      </m:oMath>
      <w:r w:rsidDel="00000000" w:rsidR="00000000" w:rsidRPr="00000000">
        <w:rPr>
          <w:sz w:val="24"/>
          <w:szCs w:val="24"/>
          <w:vertAlign w:val="baseline"/>
          <w:rtl w:val="0"/>
        </w:rPr>
        <w:t xml:space="preserve">различаются, то </w:t>
      </w:r>
      <m:oMath>
        <m:r>
          <w:rPr>
            <w:rFonts w:ascii="Cambria Math" w:cs="Cambria Math" w:eastAsia="Cambria Math" w:hAnsi="Cambria Math"/>
            <w:sz w:val="24"/>
            <w:szCs w:val="24"/>
            <w:vertAlign w:val="baseline"/>
          </w:rPr>
          <m:t xml:space="preserve">C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HA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и </w:t>
      </w:r>
      <m:oMath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A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vertAlign w:val="baseline"/>
              </w:rPr>
              <m:t xml:space="preserve">-</m:t>
            </m:r>
          </m:sup>
        </m:sSubSup>
      </m:oMath>
      <w:r w:rsidDel="00000000" w:rsidR="00000000" w:rsidRPr="00000000">
        <w:rPr>
          <w:sz w:val="24"/>
          <w:szCs w:val="24"/>
          <w:vertAlign w:val="baseline"/>
          <w:rtl w:val="0"/>
        </w:rPr>
        <w:t xml:space="preserve"> также могут быть </w:t>
      </w:r>
      <w:r w:rsidDel="00000000" w:rsidR="00000000" w:rsidRPr="00000000">
        <w:rPr>
          <w:sz w:val="24"/>
          <w:szCs w:val="24"/>
          <w:rtl w:val="0"/>
        </w:rPr>
        <w:t xml:space="preserve">определены (см. далее формулу (4)).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-520699</wp:posOffset>
            </wp:positionH>
            <wp:positionV relativeFrom="paragraph">
              <wp:posOffset>1003300</wp:posOffset>
            </wp:positionV>
            <wp:extent cx="2289439" cy="2147888"/>
            <wp:effectExtent b="0" l="0" r="0" t="0"/>
            <wp:wrapSquare wrapText="bothSides" distB="0" distT="0" distL="114300" distR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13744" l="28858" r="43542" t="40223"/>
                    <a:stretch>
                      <a:fillRect/>
                    </a:stretch>
                  </pic:blipFill>
                  <pic:spPr>
                    <a:xfrm>
                      <a:off x="0" y="0"/>
                      <a:ext cx="2289439" cy="2147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0" w:line="360" w:lineRule="auto"/>
        <w:ind w:left="0" w:right="529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Оптическая плотность раствора, содержащего частично диссоциированную кислоту: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1561042</wp:posOffset>
            </wp:positionH>
            <wp:positionV relativeFrom="paragraph">
              <wp:posOffset>377190</wp:posOffset>
            </wp:positionV>
            <wp:extent cx="2971800" cy="161925"/>
            <wp:effectExtent b="0" l="0" r="0" t="0"/>
            <wp:wrapTopAndBottom distB="0" dist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6" w:line="360" w:lineRule="auto"/>
        <w:ind w:left="0" w:right="523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Если суммарная концентрация кислоты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С0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поддерживается постоянной, то это выражение можно переписать в виде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" w:line="360" w:lineRule="auto"/>
        <w:ind w:left="0" w:right="2172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(1)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1856740</wp:posOffset>
            </wp:positionH>
            <wp:positionV relativeFrom="paragraph">
              <wp:posOffset>48895</wp:posOffset>
            </wp:positionV>
            <wp:extent cx="2247900" cy="171450"/>
            <wp:effectExtent b="0" l="0" r="0" t="0"/>
            <wp:wrapNone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1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где </w:t>
      </w:r>
      <m:oMath>
        <m:r>
          <m:t>α</m:t>
        </m:r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= (СА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perscript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/С0 ) - степень диссоциации кислоты.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360" w:lineRule="auto"/>
        <w:ind w:left="0" w:right="526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Как видно из формулы (1) и рис. 2, если при некоторой длине волны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X*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коэффициенты экстинкции обеих поглощающих форм равны между собой (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ε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A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=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ε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В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= </w:t>
      </w:r>
      <m:oMath>
        <m:r>
          <m:t>ε</m:t>
        </m:r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*), то оптическая плотность на данной длине волны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*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определяется только суммарной концентрацией С0 и не зависит от соотношения равновесных форм. Поэтому спектральные кривые будут пересекаться в одной точке, которую называют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изобестической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360" w:lineRule="auto"/>
        <w:ind w:left="0" w:right="528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Наличие на спектрах поглощения одной или нескольких изобестических точек является хорошим критерием, позволяющим судить о наличии в растворе равновесия между двумя и только двумя веществами.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528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Точность анализа смеси растёт с увеличением разницы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ε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A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ε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В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достигая максимального значения в точках, где эта разница принимает наибольшее значение. Такие точки называют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характеристическими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528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Анализ кислотно-основных равновесий в растворах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524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524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Кислотой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называют частицу, способную отдавать протон, 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основанием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частицу, способную принимать протон. Схематически кислотно-основное равновесие может быть записано в следующем виде:  HxAy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81610" cy="66675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6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perscript"/>
          <w:rtl w:val="0"/>
        </w:rPr>
        <w:t xml:space="preserve">+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+ Hx-1Ay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где HxAy - сопряжённая кислота Hx-1Ay - сопряжённое основание.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" w:line="360" w:lineRule="auto"/>
        <w:ind w:left="0" w:right="522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Данное равновесие характеризуется константой кислотности, которая определяется произведением активностей участвующих в равновесии частиц в степенях, соответствующих стехиометрическим коэффициентам: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7" w:line="360" w:lineRule="auto"/>
        <w:ind w:left="65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(2)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1132840</wp:posOffset>
            </wp:positionH>
            <wp:positionV relativeFrom="paragraph">
              <wp:posOffset>99695</wp:posOffset>
            </wp:positionV>
            <wp:extent cx="1514475" cy="372050"/>
            <wp:effectExtent b="0" l="0" r="0" t="0"/>
            <wp:wrapNone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7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1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525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зависимости от рассматриваемого равновесия одна и та же частица может служить как кислотой, так и основанием. Кислотность частицы (способность отдавать протон) зависит не только от её собственных свойств, но и от свойств частиц, которые принимают протон.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3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Рассмотрим процесс диссоциации слабой одноосновной кислоты в водном растворе: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1687959</wp:posOffset>
            </wp:positionH>
            <wp:positionV relativeFrom="paragraph">
              <wp:posOffset>89547</wp:posOffset>
            </wp:positionV>
            <wp:extent cx="2521254" cy="371475"/>
            <wp:effectExtent b="0" l="0" r="0" t="0"/>
            <wp:wrapTopAndBottom distB="0" dist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1254" cy="371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Выражение для константы диссоциации записывается как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652780</wp:posOffset>
            </wp:positionH>
            <wp:positionV relativeFrom="paragraph">
              <wp:posOffset>35137</wp:posOffset>
            </wp:positionV>
            <wp:extent cx="3502725" cy="912024"/>
            <wp:effectExtent b="0" l="0" r="0" t="0"/>
            <wp:wrapNone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2725" cy="9120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121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121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(3)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1" w:line="360" w:lineRule="auto"/>
        <w:ind w:left="0" w:right="525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Переходная область резкого изменения степени диссоциации от </w:t>
      </w:r>
      <m:oMath>
        <m:r>
          <m:t>α</m:t>
        </m:r>
      </m:oMath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≈ 0 -</w:t>
      </w:r>
      <w:r w:rsidDel="00000000" w:rsidR="00000000" w:rsidRPr="00000000">
        <w:rPr>
          <w:rFonts w:ascii="Cambria Math" w:cs="Cambria Math" w:eastAsia="Cambria Math" w:hAnsi="Cambria Math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m:oMath>
        <m:r>
          <m:t>α</m:t>
        </m:r>
      </m:oMath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≈ 1 занимает 2-3 единицы pH. При меньших или больших значениях pH оптическая плотность на рабочей длине волны будет меняться слабо, принимая значения, которые можно обозначить соответственно как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superscript"/>
          <w:rtl w:val="0"/>
        </w:rPr>
        <w:t xml:space="preserve">кисл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superscript"/>
          <w:rtl w:val="0"/>
        </w:rPr>
        <w:t xml:space="preserve">щел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2403475</wp:posOffset>
            </wp:positionH>
            <wp:positionV relativeFrom="paragraph">
              <wp:posOffset>994833</wp:posOffset>
            </wp:positionV>
            <wp:extent cx="1133475" cy="161925"/>
            <wp:effectExtent b="0" l="0" r="0" t="0"/>
            <wp:wrapTopAndBottom distB="0" dist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6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2421890</wp:posOffset>
            </wp:positionH>
            <wp:positionV relativeFrom="paragraph">
              <wp:posOffset>1254972</wp:posOffset>
            </wp:positionV>
            <wp:extent cx="1076325" cy="161925"/>
            <wp:effectExtent b="0" l="0" r="0" t="0"/>
            <wp:wrapTopAndBottom distB="0" dist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6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5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8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переходной области при 0 &lt;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 &lt; 1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получаем: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406706" cy="599313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6706" cy="59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8" w:line="360" w:lineRule="auto"/>
        <w:ind w:left="51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откуда следует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60" w:lineRule="auto"/>
        <w:ind w:left="65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(4)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1986279</wp:posOffset>
            </wp:positionH>
            <wp:positionV relativeFrom="paragraph">
              <wp:posOffset>-92933</wp:posOffset>
            </wp:positionV>
            <wp:extent cx="1743075" cy="381000"/>
            <wp:effectExtent b="0" l="0" r="0" t="0"/>
            <wp:wrapNone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81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522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Определение константы диссоциации слабой кислоты в воде по формулам (3) </w:t>
      </w:r>
      <w:r w:rsidDel="00000000" w:rsidR="00000000" w:rsidRPr="00000000">
        <w:rPr>
          <w:sz w:val="24"/>
          <w:szCs w:val="24"/>
          <w:rtl w:val="0"/>
        </w:rPr>
        <w:t xml:space="preserve">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(4) целесообразно проводить в буферных растворах с контролируемым значением pH. Степень диссоциации находят по спектроскопическим данным, активность ионов водорода определяется pH-метром, а коэффициент активности аниона кислотного остатка рассчитывают по формуле Дебая - Хюккеля:</w:t>
      </w:r>
    </w:p>
    <w:p w:rsidR="00000000" w:rsidDel="00000000" w:rsidP="00000000" w:rsidRDefault="00000000" w:rsidRPr="00000000" w14:paraId="00000040">
      <w:pPr>
        <w:spacing w:before="188" w:line="360" w:lineRule="auto"/>
        <w:ind w:left="650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(5)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1980565</wp:posOffset>
            </wp:positionH>
            <wp:positionV relativeFrom="paragraph">
              <wp:posOffset>67895</wp:posOffset>
            </wp:positionV>
            <wp:extent cx="1400175" cy="324418"/>
            <wp:effectExtent b="0" l="0" r="0" t="0"/>
            <wp:wrapNone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244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2214563</wp:posOffset>
            </wp:positionH>
            <wp:positionV relativeFrom="paragraph">
              <wp:posOffset>228600</wp:posOffset>
            </wp:positionV>
            <wp:extent cx="934078" cy="248200"/>
            <wp:effectExtent b="0" l="0" r="0" t="0"/>
            <wp:wrapNone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4078" cy="24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spacing w:line="360" w:lineRule="auto"/>
        <w:ind w:right="2892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(6)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5" w:line="360" w:lineRule="auto"/>
        <w:ind w:left="0" w:right="523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ионная сила раствора,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 Z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молярная концентрация и заряд иона. При этом суммирование производится по всем присутствующим в растворе ионам.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Логарифмируя (3) и учитывая, что pH = - lg н+, получаем: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1771650</wp:posOffset>
            </wp:positionH>
            <wp:positionV relativeFrom="paragraph">
              <wp:posOffset>238125</wp:posOffset>
            </wp:positionV>
            <wp:extent cx="1964326" cy="329782"/>
            <wp:effectExtent b="0" l="0" r="0" t="0"/>
            <wp:wrapNone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4326" cy="3297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294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(7)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532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Эта формула позволяет рассчитывать константу диссоциации одноосновной кислоты в буферном растворе.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528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Методика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oпределения константы диссоциации метилового оранжевого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528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Кислотно-основное равновесие, устанавливающееся в растворах метилового оранжевого (натриевой соли 4'-диметиламиноазабензол-4-сульфокислоты) представляется следующим образом: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22" w:right="528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136298" cy="824807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44508" l="22234" r="19187" t="38768"/>
                    <a:stretch>
                      <a:fillRect/>
                    </a:stretch>
                  </pic:blipFill>
                  <pic:spPr>
                    <a:xfrm>
                      <a:off x="0" y="0"/>
                      <a:ext cx="5136298" cy="824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" w:line="360" w:lineRule="auto"/>
        <w:ind w:left="2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данной работе исследуется диссоциация индикатора. Схематично ее можно представить уравнением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2" w:line="360" w:lineRule="auto"/>
        <w:ind w:left="0" w:right="30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 + H2O ↔ 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perscript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+ H3O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6" w:line="360" w:lineRule="auto"/>
        <w:ind w:left="0" w:right="533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Метиловый оранжевый относится к амфотерным индикаторам, так как его молекула содержит одновременно кислотную и основную группы.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523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случае достаточно разбавленных растворов константа диссоциации индикатора связана с его степенью диссоциации </w:t>
      </w:r>
      <m:oMath>
        <m:r>
          <m:t>α</m:t>
        </m:r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и с pH раствора соотношением (7). Значение степени диссоциации находят из измерений оптической плотности растворов индикатора в буфере с известным значением pH по формуле (4). Для этого же раствора по формуле Дебая - Хюккеля (5) определяют коэффициент активности </w:t>
      </w:r>
      <m:oMath>
        <m:r>
          <m:t>γ</m:t>
        </m:r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Зная значения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a, </w:t>
      </w:r>
      <m:oMath>
        <m:r>
          <m:t>γ</m:t>
        </m:r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 pH, можно определить значение константы диссоциации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Ка.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точного определения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необходимы следующие условия: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37" w:line="360" w:lineRule="auto"/>
        <w:ind w:left="222" w:right="530" w:hanging="209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концентрация индикатора в кислых, щелочных и буферных растворах должна быть выбрана так, чтобы максимальные значения оптических плотностей всех растворов находились в пределах рабочей шкалы используемых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0" w:line="360" w:lineRule="auto"/>
        <w:ind w:left="222" w:right="526" w:hanging="209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поскольку значения коэффициентов экстинкции исследуемых частиц могут зависеть от ионной силы раствора, все используемые растворы должны иметь одинаковую ионную силу I. Кроме того, значения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 должны превышать 0,1 М, чтобы для расчёта коэффициентов активности ионов можно было использовать формулу Дебая-Хюккеля;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4"/>
        </w:tabs>
        <w:spacing w:after="0" w:before="0" w:line="360" w:lineRule="auto"/>
        <w:ind w:left="222" w:right="0" w:hanging="209"/>
        <w:jc w:val="both"/>
        <w:rPr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все эксперименты должны выполняться при одинаковой температуре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744"/>
        </w:tabs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0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 Практическая часть</w:t>
      </w:r>
    </w:p>
    <w:p w:rsidR="00000000" w:rsidDel="00000000" w:rsidP="00000000" w:rsidRDefault="00000000" w:rsidRPr="00000000" w14:paraId="00000056">
      <w:pPr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Необходимое оборудование и материалы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2"/>
        </w:tabs>
        <w:spacing w:after="0" w:before="40" w:line="240" w:lineRule="auto"/>
        <w:ind w:left="240" w:right="0" w:hanging="24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мерные колбы на 50 мл – 10 шт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2"/>
          <w:tab w:val="left" w:leader="none" w:pos="1637"/>
        </w:tabs>
        <w:spacing w:after="0" w:before="19" w:line="240" w:lineRule="auto"/>
        <w:ind w:left="240" w:right="0" w:hanging="24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спектрофотометр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2"/>
          <w:tab w:val="left" w:leader="none" w:pos="1637"/>
        </w:tabs>
        <w:spacing w:after="0" w:before="19" w:line="240" w:lineRule="auto"/>
        <w:ind w:left="240" w:right="0" w:hanging="24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кварцевая кювета толщиной 1 см.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2"/>
          <w:tab w:val="left" w:leader="none" w:pos="1637"/>
        </w:tabs>
        <w:spacing w:after="0" w:before="19" w:line="240" w:lineRule="auto"/>
        <w:ind w:left="240" w:right="0" w:hanging="24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раствор метилового оранжевого 0.2 г/л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2"/>
          <w:tab w:val="left" w:leader="none" w:pos="1637"/>
        </w:tabs>
        <w:spacing w:after="0" w:before="19" w:line="240" w:lineRule="auto"/>
        <w:ind w:left="240" w:right="0" w:hanging="240"/>
        <w:jc w:val="left"/>
        <w:rPr>
          <w:b w:val="0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0.1 М раствор HCl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2"/>
          <w:tab w:val="left" w:leader="none" w:pos="1637"/>
        </w:tabs>
        <w:spacing w:after="0" w:before="19" w:line="240" w:lineRule="auto"/>
        <w:ind w:left="240" w:right="0" w:hanging="240"/>
        <w:jc w:val="left"/>
        <w:rPr>
          <w:b w:val="0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0.1 М раствор NaOH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2"/>
          <w:tab w:val="left" w:leader="none" w:pos="1637"/>
        </w:tabs>
        <w:spacing w:after="0" w:before="19" w:line="240" w:lineRule="auto"/>
        <w:ind w:left="240" w:right="0" w:hanging="240"/>
        <w:jc w:val="left"/>
        <w:rPr>
          <w:b w:val="0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буфер I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(pH = 3,9)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2"/>
          <w:tab w:val="left" w:leader="none" w:pos="1637"/>
        </w:tabs>
        <w:spacing w:after="0" w:before="19" w:line="240" w:lineRule="auto"/>
        <w:ind w:left="240" w:right="0" w:hanging="240"/>
        <w:jc w:val="left"/>
        <w:rPr>
          <w:b w:val="0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буфер II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(pH = 3,7)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2"/>
          <w:tab w:val="left" w:leader="none" w:pos="1637"/>
        </w:tabs>
        <w:spacing w:after="28" w:before="64" w:line="240" w:lineRule="auto"/>
        <w:ind w:left="240" w:right="0" w:hanging="240"/>
        <w:jc w:val="left"/>
        <w:rPr>
          <w:b w:val="0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буфер III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(pH = 3,5)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2"/>
          <w:tab w:val="left" w:leader="none" w:pos="1637"/>
        </w:tabs>
        <w:spacing w:after="28" w:before="64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.999999999999872"/>
          <w:tab w:val="left" w:leader="none" w:pos="1637"/>
        </w:tabs>
        <w:spacing w:after="28" w:before="64" w:line="240" w:lineRule="auto"/>
        <w:ind w:right="0" w:firstLine="566.9291338582675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Буферный раствор I (буфер I), pH = 3,9, приготовим в мерной колбе на 200 мл из ацетата натрия и уксусной кислоты, используя безводный тригидрат ацетата натрия. Рассчитываем навеску ацетата натрия, чтобы его концентрация в готовом буферном растворе была равна 0,02 М. Необходимое количество уксусной кислоты рассчитывают по формуле Гендерсона: 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.999999999999872"/>
          <w:tab w:val="left" w:leader="none" w:pos="1637"/>
        </w:tabs>
        <w:spacing w:after="28" w:before="64" w:line="240" w:lineRule="auto"/>
        <w:ind w:left="0" w:righ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63047" cy="524467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50883" l="14519" r="50903" t="37522"/>
                    <a:stretch>
                      <a:fillRect/>
                    </a:stretch>
                  </pic:blipFill>
                  <pic:spPr>
                    <a:xfrm>
                      <a:off x="0" y="0"/>
                      <a:ext cx="2763047" cy="524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.999999999999872"/>
          <w:tab w:val="left" w:leader="none" w:pos="1637"/>
        </w:tabs>
        <w:spacing w:after="28" w:before="64" w:line="240" w:lineRule="auto"/>
        <w:ind w:left="0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 Ka (AcOH) = 1,75 * 10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sz w:val="24"/>
          <w:szCs w:val="24"/>
          <w:rtl w:val="0"/>
        </w:rPr>
        <w:t xml:space="preserve"> . Значение pH приготовленного буфера I скорректируем, добавляя в него ацетат натрия или уксусную кислоту. Буфер II (pH = 3,7) и буфер III (pH = 3,5) приготовим из буфера I в стаканчиках на 50 мл, добавляя по каплям уксусную кислоту (значение pH контролируем по иономеру). Раствор метилового оранжевого с концентрацией 0,2 г/л приготовим в мерной колбе объёмом 50 мл.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2"/>
          <w:tab w:val="left" w:leader="none" w:pos="1637"/>
        </w:tabs>
        <w:spacing w:after="28" w:before="64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shd w:fill="auto" w:val="clear"/>
          <w:vertAlign w:val="baseline"/>
          <w:rtl w:val="0"/>
        </w:rPr>
        <w:t xml:space="preserve">Таблица 1. Растворы</w:t>
      </w:r>
    </w:p>
    <w:tbl>
      <w:tblPr>
        <w:tblStyle w:val="Table1"/>
        <w:tblW w:w="8629.0" w:type="dxa"/>
        <w:jc w:val="left"/>
        <w:tblInd w:w="-746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163"/>
        <w:gridCol w:w="2156"/>
        <w:gridCol w:w="2154"/>
        <w:gridCol w:w="2156"/>
        <w:tblGridChange w:id="0">
          <w:tblGrid>
            <w:gridCol w:w="2163"/>
            <w:gridCol w:w="2156"/>
            <w:gridCol w:w="2154"/>
            <w:gridCol w:w="2156"/>
          </w:tblGrid>
        </w:tblGridChange>
      </w:tblGrid>
      <w:tr>
        <w:trPr>
          <w:cantSplit w:val="0"/>
          <w:trHeight w:val="827" w:hRule="atLeast"/>
          <w:tblHeader w:val="0"/>
        </w:trPr>
        <w:tc>
          <w:tcPr/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1144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Номер раствора</w:t>
            </w:r>
          </w:p>
        </w:tc>
        <w:tc>
          <w:tcPr/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36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Раствор метилоранж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4" w:lineRule="auto"/>
              <w:ind w:left="753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0.2 г/л</w:t>
            </w:r>
          </w:p>
        </w:tc>
        <w:tc>
          <w:tcPr/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184"/>
              </w:tabs>
              <w:spacing w:after="0" w:before="0" w:line="240" w:lineRule="auto"/>
              <w:ind w:left="105" w:right="98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Раствор</w:t>
              <w:tab/>
              <w:t xml:space="preserve">кислоты или щелочи 0.1 н</w:t>
            </w:r>
          </w:p>
        </w:tc>
        <w:tc>
          <w:tcPr/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8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Вода</w:t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2.0 мл</w:t>
            </w:r>
          </w:p>
        </w:tc>
        <w:tc>
          <w:tcPr/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 мл HCl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" w:right="10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Добавляют воду в каждый раствор, доводя его объем до 50 мл.</w:t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8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8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1.5 мл</w:t>
            </w:r>
          </w:p>
        </w:tc>
        <w:tc>
          <w:tcPr/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8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 мл HCl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1.0 мл</w:t>
            </w:r>
          </w:p>
        </w:tc>
        <w:tc>
          <w:tcPr/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 мл HCl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0.5 мл</w:t>
            </w:r>
          </w:p>
        </w:tc>
        <w:tc>
          <w:tcPr/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 мл HCl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 мл</w:t>
            </w:r>
          </w:p>
        </w:tc>
        <w:tc>
          <w:tcPr/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 мл NaOH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2.0 мл</w:t>
            </w:r>
          </w:p>
        </w:tc>
        <w:tc>
          <w:tcPr/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 мл NaOH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1.5 мл</w:t>
            </w:r>
          </w:p>
        </w:tc>
        <w:tc>
          <w:tcPr/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 мл NaOH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1.0 мл</w:t>
            </w:r>
          </w:p>
        </w:tc>
        <w:tc>
          <w:tcPr/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 мл NaOH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8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8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2.0 мл</w:t>
            </w:r>
          </w:p>
        </w:tc>
        <w:tc>
          <w:tcPr/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8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25 мл буфер 1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/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2.0 мл</w:t>
            </w:r>
          </w:p>
        </w:tc>
        <w:tc>
          <w:tcPr/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25 мл буфер 2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2.0 мл</w:t>
            </w:r>
          </w:p>
        </w:tc>
        <w:tc>
          <w:tcPr/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25 мл буфер 3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 мл</w:t>
            </w:r>
          </w:p>
        </w:tc>
        <w:tc>
          <w:tcPr/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5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 мл</w:t>
            </w:r>
          </w:p>
        </w:tc>
        <w:tc>
          <w:tcPr/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B">
      <w:pPr>
        <w:tabs>
          <w:tab w:val="left" w:leader="none" w:pos="342"/>
          <w:tab w:val="left" w:leader="none" w:pos="1637"/>
        </w:tabs>
        <w:spacing w:before="19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leader="none" w:pos="342"/>
          <w:tab w:val="left" w:leader="none" w:pos="1637"/>
        </w:tabs>
        <w:spacing w:before="19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Спектры поглощения приготовленных растворов индикатора будем снимать в области 300-600 нм. Для этого используем кюветы с длиной оптического пути l = 0.5 см (для корректировки базовой линии используют кювету с дистиллированной водой) (см. рис. 3, 4, 5). </w:t>
      </w:r>
    </w:p>
    <w:p w:rsidR="00000000" w:rsidDel="00000000" w:rsidP="00000000" w:rsidRDefault="00000000" w:rsidRPr="00000000" w14:paraId="0000009E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leader="none" w:pos="342"/>
          <w:tab w:val="left" w:leader="none" w:pos="1637"/>
        </w:tabs>
        <w:spacing w:before="19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20728" cy="3247062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18172" l="27500" r="17612" t="27684"/>
                    <a:stretch>
                      <a:fillRect/>
                    </a:stretch>
                  </pic:blipFill>
                  <pic:spPr>
                    <a:xfrm>
                      <a:off x="0" y="0"/>
                      <a:ext cx="5820728" cy="3247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leader="none" w:pos="342"/>
          <w:tab w:val="left" w:leader="none" w:pos="1637"/>
        </w:tabs>
        <w:spacing w:before="19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Рис. 3. Спектр растворов № 1-4</w:t>
      </w:r>
    </w:p>
    <w:p w:rsidR="00000000" w:rsidDel="00000000" w:rsidP="00000000" w:rsidRDefault="00000000" w:rsidRPr="00000000" w14:paraId="000000A1">
      <w:pPr>
        <w:tabs>
          <w:tab w:val="left" w:leader="none" w:pos="342"/>
          <w:tab w:val="left" w:leader="none" w:pos="1637"/>
        </w:tabs>
        <w:spacing w:before="19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leader="none" w:pos="342"/>
          <w:tab w:val="left" w:leader="none" w:pos="1637"/>
        </w:tabs>
        <w:spacing w:before="19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21787" cy="2970847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23782" l="28621" r="16585" t="23760"/>
                    <a:stretch>
                      <a:fillRect/>
                    </a:stretch>
                  </pic:blipFill>
                  <pic:spPr>
                    <a:xfrm>
                      <a:off x="0" y="0"/>
                      <a:ext cx="5521787" cy="2970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leader="none" w:pos="342"/>
          <w:tab w:val="left" w:leader="none" w:pos="1637"/>
        </w:tabs>
        <w:spacing w:before="19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Рис. 4. Спектр растворов № 5-8</w:t>
      </w:r>
    </w:p>
    <w:p w:rsidR="00000000" w:rsidDel="00000000" w:rsidP="00000000" w:rsidRDefault="00000000" w:rsidRPr="00000000" w14:paraId="000000A4">
      <w:pPr>
        <w:tabs>
          <w:tab w:val="left" w:leader="none" w:pos="342"/>
          <w:tab w:val="left" w:leader="none" w:pos="1637"/>
        </w:tabs>
        <w:spacing w:before="19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342"/>
          <w:tab w:val="left" w:leader="none" w:pos="1637"/>
        </w:tabs>
        <w:spacing w:before="19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5154" cy="3084597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20387" l="28265" r="17446" t="28017"/>
                    <a:stretch>
                      <a:fillRect/>
                    </a:stretch>
                  </pic:blipFill>
                  <pic:spPr>
                    <a:xfrm>
                      <a:off x="0" y="0"/>
                      <a:ext cx="5755154" cy="3084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leader="none" w:pos="342"/>
          <w:tab w:val="left" w:leader="none" w:pos="1637"/>
        </w:tabs>
        <w:spacing w:before="19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Рис. 4. Спектр растворов № 1, 6, 9-11</w:t>
      </w:r>
    </w:p>
    <w:p w:rsidR="00000000" w:rsidDel="00000000" w:rsidP="00000000" w:rsidRDefault="00000000" w:rsidRPr="00000000" w14:paraId="000000A7">
      <w:pPr>
        <w:tabs>
          <w:tab w:val="left" w:leader="none" w:pos="342"/>
          <w:tab w:val="left" w:leader="none" w:pos="1637"/>
        </w:tabs>
        <w:spacing w:before="19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По спектрам поглощения растворов № 1, 6, 9-11 (см. рис. 5) </w:t>
      </w:r>
      <w:r w:rsidDel="00000000" w:rsidR="00000000" w:rsidRPr="00000000">
        <w:rPr>
          <w:sz w:val="24"/>
          <w:szCs w:val="24"/>
          <w:rtl w:val="0"/>
        </w:rPr>
        <w:t xml:space="preserve">определим</w:t>
      </w:r>
      <w:r w:rsidDel="00000000" w:rsidR="00000000" w:rsidRPr="00000000">
        <w:rPr>
          <w:sz w:val="24"/>
          <w:szCs w:val="24"/>
          <w:rtl w:val="0"/>
        </w:rPr>
        <w:t xml:space="preserve"> рабочую длину волны λ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 на которой будут измеряться оптические плотности всех растворов (λ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= 510 нм). </w:t>
      </w:r>
    </w:p>
    <w:p w:rsidR="00000000" w:rsidDel="00000000" w:rsidP="00000000" w:rsidRDefault="00000000" w:rsidRPr="00000000" w14:paraId="000000A9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Найдём  изобестическую точку и определяют её характеристики: λ* = 465 нм, D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λ*</w:t>
      </w:r>
      <w:r w:rsidDel="00000000" w:rsidR="00000000" w:rsidRPr="00000000">
        <w:rPr>
          <w:sz w:val="24"/>
          <w:szCs w:val="24"/>
          <w:rtl w:val="0"/>
        </w:rPr>
        <w:t xml:space="preserve"> = 0.488</w:t>
      </w:r>
      <w:r w:rsidDel="00000000" w:rsidR="00000000" w:rsidRPr="00000000">
        <w:rPr>
          <w:sz w:val="24"/>
          <w:szCs w:val="24"/>
          <w:rtl w:val="0"/>
        </w:rPr>
        <w:t xml:space="preserve">. Соответственно, коэффициент экстинкции в данной точке 𝜀* = 0.4 * 10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sz w:val="24"/>
          <w:szCs w:val="24"/>
          <w:rtl w:val="0"/>
        </w:rPr>
        <w:t xml:space="preserve"> (М * см)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-1</w:t>
      </w:r>
      <w:r w:rsidDel="00000000" w:rsidR="00000000" w:rsidRPr="00000000">
        <w:rPr>
          <w:sz w:val="24"/>
          <w:szCs w:val="24"/>
          <w:rtl w:val="0"/>
        </w:rPr>
        <w:t xml:space="preserve">. Видно, что спектр буфера I не соответствует предполагаемой зависимости. Возможно, причиной тому является неправильно приготовленный раствор.</w:t>
      </w:r>
    </w:p>
    <w:p w:rsidR="00000000" w:rsidDel="00000000" w:rsidP="00000000" w:rsidRDefault="00000000" w:rsidRPr="00000000" w14:paraId="000000AA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</w:t>
      </w:r>
      <w:r w:rsidDel="00000000" w:rsidR="00000000" w:rsidRPr="00000000">
        <w:rPr>
          <w:sz w:val="24"/>
          <w:szCs w:val="24"/>
          <w:rtl w:val="0"/>
        </w:rPr>
        <w:t xml:space="preserve">По спектрам поглощения растворов № 1-4 (см. рис. 3) и 5-8 (см. рис. 4) определим оптические плотности D протонированной и </w:t>
      </w:r>
      <w:r w:rsidDel="00000000" w:rsidR="00000000" w:rsidRPr="00000000">
        <w:rPr>
          <w:sz w:val="24"/>
          <w:szCs w:val="24"/>
          <w:rtl w:val="0"/>
        </w:rPr>
        <w:t xml:space="preserve">депротонированной</w:t>
      </w:r>
      <w:r w:rsidDel="00000000" w:rsidR="00000000" w:rsidRPr="00000000">
        <w:rPr>
          <w:sz w:val="24"/>
          <w:szCs w:val="24"/>
          <w:rtl w:val="0"/>
        </w:rPr>
        <w:t xml:space="preserve"> форм индикатора на рабочей длине волны λ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(см. табл. 2).</w:t>
      </w:r>
    </w:p>
    <w:p w:rsidR="00000000" w:rsidDel="00000000" w:rsidP="00000000" w:rsidRDefault="00000000" w:rsidRPr="00000000" w14:paraId="000000AB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1"/>
        <w:spacing w:after="200" w:lineRule="auto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Таблица 2. Оптические плотности индикатора на рабочей длине волны λ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4"/>
          <w:szCs w:val="24"/>
          <w:rtl w:val="0"/>
        </w:rPr>
        <w:t xml:space="preserve"> = 510 нм</w:t>
      </w:r>
    </w:p>
    <w:p w:rsidR="00000000" w:rsidDel="00000000" w:rsidP="00000000" w:rsidRDefault="00000000" w:rsidRPr="00000000" w14:paraId="000000AD">
      <w:pPr>
        <w:keepNext w:val="1"/>
        <w:spacing w:after="200" w:lineRule="auto"/>
        <w:jc w:val="center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5961698" cy="1897327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36649" l="11955" r="14497" t="21842"/>
                    <a:stretch>
                      <a:fillRect/>
                    </a:stretch>
                  </pic:blipFill>
                  <pic:spPr>
                    <a:xfrm>
                      <a:off x="0" y="0"/>
                      <a:ext cx="5961698" cy="1897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Проверим выполнение закона Бугера - Ламберта - Бера. Построим графики зависимости D от концентрации индикатора для кислых (№ 12, 1- 4) и щелочных (№ 12, 5-8) растворов (см. рис. 6); по графикам рассчитаем коэффициент экстинкции для каждой формы индикатора на выбранной рабочей длине волны λ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(см. табл. 2)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AF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leader="none" w:pos="342"/>
          <w:tab w:val="left" w:leader="none" w:pos="1637"/>
        </w:tabs>
        <w:spacing w:before="19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18848" cy="319087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18963" l="20288" r="24121" t="26879"/>
                    <a:stretch>
                      <a:fillRect/>
                    </a:stretch>
                  </pic:blipFill>
                  <pic:spPr>
                    <a:xfrm>
                      <a:off x="0" y="0"/>
                      <a:ext cx="6018848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leader="none" w:pos="342"/>
          <w:tab w:val="left" w:leader="none" w:pos="1637"/>
        </w:tabs>
        <w:spacing w:before="19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Рис. 6. Графики зависимости D от концентрации индикатора С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(λ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= 510 нм)</w:t>
      </w:r>
    </w:p>
    <w:p w:rsidR="00000000" w:rsidDel="00000000" w:rsidP="00000000" w:rsidRDefault="00000000" w:rsidRPr="00000000" w14:paraId="000000B2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Для параллельного </w:t>
      </w:r>
      <w:r w:rsidDel="00000000" w:rsidR="00000000" w:rsidRPr="00000000">
        <w:rPr>
          <w:sz w:val="24"/>
          <w:szCs w:val="24"/>
          <w:rtl w:val="0"/>
        </w:rPr>
        <w:t xml:space="preserve">расчёта</w:t>
      </w:r>
      <w:r w:rsidDel="00000000" w:rsidR="00000000" w:rsidRPr="00000000">
        <w:rPr>
          <w:sz w:val="24"/>
          <w:szCs w:val="24"/>
          <w:rtl w:val="0"/>
        </w:rPr>
        <w:t xml:space="preserve"> выберем ещё одно значение рабочей длины волны λ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λ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= 470 нм)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и </w:t>
      </w:r>
      <w:r w:rsidDel="00000000" w:rsidR="00000000" w:rsidRPr="00000000">
        <w:rPr>
          <w:sz w:val="24"/>
          <w:szCs w:val="24"/>
          <w:rtl w:val="0"/>
        </w:rPr>
        <w:t xml:space="preserve">повторим</w:t>
      </w:r>
      <w:r w:rsidDel="00000000" w:rsidR="00000000" w:rsidRPr="00000000">
        <w:rPr>
          <w:sz w:val="24"/>
          <w:szCs w:val="24"/>
          <w:rtl w:val="0"/>
        </w:rPr>
        <w:t xml:space="preserve"> п. 4-5 для данной длины волны (см. табл. 3, рис. 7)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B4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1"/>
        <w:spacing w:after="200" w:lineRule="auto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Таблица 3. Оптические плотности индикатора на рабочей длине волны λ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i w:val="1"/>
          <w:sz w:val="24"/>
          <w:szCs w:val="24"/>
          <w:rtl w:val="0"/>
        </w:rPr>
        <w:t xml:space="preserve"> = 470 нм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leader="none" w:pos="342"/>
          <w:tab w:val="left" w:leader="none" w:pos="1637"/>
        </w:tabs>
        <w:spacing w:before="19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14073" cy="1923202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32744" l="7367" r="54267" t="45204"/>
                    <a:stretch>
                      <a:fillRect/>
                    </a:stretch>
                  </pic:blipFill>
                  <pic:spPr>
                    <a:xfrm>
                      <a:off x="0" y="0"/>
                      <a:ext cx="5914073" cy="1923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leader="none" w:pos="342"/>
          <w:tab w:val="left" w:leader="none" w:pos="1637"/>
        </w:tabs>
        <w:spacing w:before="19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12317" cy="291465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16947" l="28621" r="14981" t="31512"/>
                    <a:stretch>
                      <a:fillRect/>
                    </a:stretch>
                  </pic:blipFill>
                  <pic:spPr>
                    <a:xfrm>
                      <a:off x="0" y="0"/>
                      <a:ext cx="5812317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leader="none" w:pos="342"/>
          <w:tab w:val="left" w:leader="none" w:pos="1637"/>
        </w:tabs>
        <w:spacing w:before="19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Рис. 6. Графики зависимости D от концентрации индикатора С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(λ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= 470 нм)</w:t>
      </w:r>
    </w:p>
    <w:p w:rsidR="00000000" w:rsidDel="00000000" w:rsidP="00000000" w:rsidRDefault="00000000" w:rsidRPr="00000000" w14:paraId="000000BB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По формулам, приведённым в теоретической части, рассчитаем значение константы диссоциации индикатора, сделав два параллельных </w:t>
      </w:r>
      <w:r w:rsidDel="00000000" w:rsidR="00000000" w:rsidRPr="00000000">
        <w:rPr>
          <w:sz w:val="24"/>
          <w:szCs w:val="24"/>
          <w:rtl w:val="0"/>
        </w:rPr>
        <w:t xml:space="preserve">расчёта</w:t>
      </w:r>
      <w:r w:rsidDel="00000000" w:rsidR="00000000" w:rsidRPr="00000000">
        <w:rPr>
          <w:sz w:val="24"/>
          <w:szCs w:val="24"/>
          <w:rtl w:val="0"/>
        </w:rPr>
        <w:t xml:space="preserve"> для λ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и λ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(см. табл. 4). </w:t>
      </w:r>
    </w:p>
    <w:p w:rsidR="00000000" w:rsidDel="00000000" w:rsidP="00000000" w:rsidRDefault="00000000" w:rsidRPr="00000000" w14:paraId="000000BD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1"/>
        <w:spacing w:after="200" w:lineRule="auto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Таблица 4. </w:t>
      </w:r>
      <w:r w:rsidDel="00000000" w:rsidR="00000000" w:rsidRPr="00000000">
        <w:rPr>
          <w:i w:val="1"/>
          <w:sz w:val="24"/>
          <w:szCs w:val="24"/>
          <w:rtl w:val="0"/>
        </w:rPr>
        <w:t xml:space="preserve">Расчёт</w:t>
      </w:r>
      <w:r w:rsidDel="00000000" w:rsidR="00000000" w:rsidRPr="00000000">
        <w:rPr>
          <w:i w:val="1"/>
          <w:sz w:val="24"/>
          <w:szCs w:val="24"/>
          <w:rtl w:val="0"/>
        </w:rPr>
        <w:t xml:space="preserve"> константы диссоциации индикатора метилового оранжевого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leader="none" w:pos="342"/>
          <w:tab w:val="left" w:leader="none" w:pos="1637"/>
        </w:tabs>
        <w:spacing w:before="19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15025" cy="1110372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54792" l="10966" r="18878" t="2188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110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leader="none" w:pos="342"/>
          <w:tab w:val="left" w:leader="none" w:pos="1637"/>
        </w:tabs>
        <w:spacing w:before="19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leader="none" w:pos="342"/>
          <w:tab w:val="left" w:leader="none" w:pos="1637"/>
        </w:tabs>
        <w:spacing w:before="19" w:lineRule="auto"/>
        <w:ind w:firstLine="566.9291338582675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Сравнивая полученные результаты с табличными данными (K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a</w:t>
      </w:r>
      <w:r w:rsidDel="00000000" w:rsidR="00000000" w:rsidRPr="00000000">
        <w:rPr>
          <w:sz w:val="24"/>
          <w:szCs w:val="24"/>
          <w:rtl w:val="0"/>
        </w:rPr>
        <w:t xml:space="preserve"> = 4.6 * 10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-4</w:t>
      </w:r>
      <w:r w:rsidDel="00000000" w:rsidR="00000000" w:rsidRPr="00000000">
        <w:rPr>
          <w:sz w:val="24"/>
          <w:szCs w:val="24"/>
          <w:rtl w:val="0"/>
        </w:rPr>
        <w:t xml:space="preserve">), можем сделать вывод о том, что нам удалось получить относительно точные значения константы диссоциации индикатора метилового оранжевого для буферов II и III.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Gungsuh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Noto Sans Symbols">
    <w:embedRegular w:fontKey="{00000000-0000-0000-0000-000000000000}" r:id="rId4" w:subsetted="0"/>
    <w:embedBold w:fontKey="{00000000-0000-0000-0000-000000000000}" r:id="rId5" w:subsetted="0"/>
  </w:font>
  <w:font w:name="Cambria Math">
    <w:embedRegular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0"/>
      <w:numFmt w:val="bullet"/>
      <w:lvlText w:val="-"/>
      <w:lvlJc w:val="left"/>
      <w:pPr>
        <w:ind w:left="222" w:hanging="209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0"/>
      <w:numFmt w:val="bullet"/>
      <w:lvlText w:val="-"/>
      <w:lvlJc w:val="left"/>
      <w:pPr>
        <w:ind w:left="240" w:hanging="240"/>
      </w:pPr>
      <w:rPr>
        <w:rFonts w:ascii="Times New Roman" w:cs="Times New Roman" w:eastAsia="Times New Roman" w:hAnsi="Times New Roman"/>
        <w:sz w:val="24"/>
        <w:szCs w:val="24"/>
      </w:rPr>
    </w:lvl>
    <w:lvl w:ilvl="1">
      <w:start w:val="1"/>
      <w:numFmt w:val="decimal"/>
      <w:lvlText w:val="%2)"/>
      <w:lvlJc w:val="left"/>
      <w:pPr>
        <w:ind w:left="821" w:hanging="360.00000000000006"/>
      </w:pPr>
      <w:rPr>
        <w:rFonts w:ascii="Times New Roman" w:cs="Times New Roman" w:eastAsia="Times New Roman" w:hAnsi="Times New Roman"/>
        <w:sz w:val="24"/>
        <w:szCs w:val="24"/>
      </w:rPr>
    </w:lvl>
    <w:lvl w:ilvl="2">
      <w:start w:val="1"/>
      <w:numFmt w:val="decimal"/>
      <w:lvlText w:val="%3)"/>
      <w:lvlJc w:val="left"/>
      <w:pPr>
        <w:ind w:left="1181" w:hanging="360"/>
      </w:pPr>
      <w:rPr>
        <w:rFonts w:ascii="Times New Roman" w:cs="Times New Roman" w:eastAsia="Times New Roman" w:hAnsi="Times New Roman"/>
        <w:sz w:val="24"/>
        <w:szCs w:val="24"/>
      </w:rPr>
    </w:lvl>
    <w:lvl w:ilvl="3">
      <w:start w:val="0"/>
      <w:numFmt w:val="bullet"/>
      <w:lvlText w:val="•"/>
      <w:lvlJc w:val="left"/>
      <w:pPr>
        <w:ind w:left="1548" w:hanging="360"/>
      </w:pPr>
      <w:rPr/>
    </w:lvl>
    <w:lvl w:ilvl="4">
      <w:start w:val="0"/>
      <w:numFmt w:val="bullet"/>
      <w:lvlText w:val="•"/>
      <w:lvlJc w:val="left"/>
      <w:pPr>
        <w:ind w:left="1917" w:hanging="360"/>
      </w:pPr>
      <w:rPr/>
    </w:lvl>
    <w:lvl w:ilvl="5">
      <w:start w:val="0"/>
      <w:numFmt w:val="bullet"/>
      <w:lvlText w:val="•"/>
      <w:lvlJc w:val="left"/>
      <w:pPr>
        <w:ind w:left="2286" w:hanging="360"/>
      </w:pPr>
      <w:rPr/>
    </w:lvl>
    <w:lvl w:ilvl="6">
      <w:start w:val="0"/>
      <w:numFmt w:val="bullet"/>
      <w:lvlText w:val="•"/>
      <w:lvlJc w:val="left"/>
      <w:pPr>
        <w:ind w:left="2655" w:hanging="360"/>
      </w:pPr>
      <w:rPr/>
    </w:lvl>
    <w:lvl w:ilvl="7">
      <w:start w:val="0"/>
      <w:numFmt w:val="bullet"/>
      <w:lvlText w:val="•"/>
      <w:lvlJc w:val="left"/>
      <w:pPr>
        <w:ind w:left="3024" w:hanging="360"/>
      </w:pPr>
      <w:rPr/>
    </w:lvl>
    <w:lvl w:ilvl="8">
      <w:start w:val="0"/>
      <w:numFmt w:val="bullet"/>
      <w:lvlText w:val="•"/>
      <w:lvlJc w:val="left"/>
      <w:pPr>
        <w:ind w:left="3392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ru-RU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1" w:lineRule="auto"/>
      <w:ind w:left="222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7.png"/><Relationship Id="rId21" Type="http://schemas.openxmlformats.org/officeDocument/2006/relationships/image" Target="media/image12.png"/><Relationship Id="rId24" Type="http://schemas.openxmlformats.org/officeDocument/2006/relationships/image" Target="media/image14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7.png"/><Relationship Id="rId25" Type="http://schemas.openxmlformats.org/officeDocument/2006/relationships/image" Target="media/image20.png"/><Relationship Id="rId28" Type="http://schemas.openxmlformats.org/officeDocument/2006/relationships/image" Target="media/image5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8.png"/><Relationship Id="rId7" Type="http://schemas.openxmlformats.org/officeDocument/2006/relationships/image" Target="media/image10.png"/><Relationship Id="rId8" Type="http://schemas.openxmlformats.org/officeDocument/2006/relationships/image" Target="media/image6.png"/><Relationship Id="rId31" Type="http://schemas.openxmlformats.org/officeDocument/2006/relationships/image" Target="media/image21.png"/><Relationship Id="rId30" Type="http://schemas.openxmlformats.org/officeDocument/2006/relationships/image" Target="media/image24.png"/><Relationship Id="rId11" Type="http://schemas.openxmlformats.org/officeDocument/2006/relationships/image" Target="media/image22.png"/><Relationship Id="rId10" Type="http://schemas.openxmlformats.org/officeDocument/2006/relationships/image" Target="media/image11.png"/><Relationship Id="rId13" Type="http://schemas.openxmlformats.org/officeDocument/2006/relationships/image" Target="media/image16.png"/><Relationship Id="rId12" Type="http://schemas.openxmlformats.org/officeDocument/2006/relationships/image" Target="media/image4.png"/><Relationship Id="rId15" Type="http://schemas.openxmlformats.org/officeDocument/2006/relationships/image" Target="media/image15.png"/><Relationship Id="rId14" Type="http://schemas.openxmlformats.org/officeDocument/2006/relationships/image" Target="media/image9.png"/><Relationship Id="rId17" Type="http://schemas.openxmlformats.org/officeDocument/2006/relationships/image" Target="media/image19.png"/><Relationship Id="rId16" Type="http://schemas.openxmlformats.org/officeDocument/2006/relationships/image" Target="media/image13.png"/><Relationship Id="rId19" Type="http://schemas.openxmlformats.org/officeDocument/2006/relationships/image" Target="media/image8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NotoSansSymbols-regular.ttf"/><Relationship Id="rId5" Type="http://schemas.openxmlformats.org/officeDocument/2006/relationships/font" Target="fonts/NotoSansSymbols-bold.ttf"/><Relationship Id="rId6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